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SｺﾞｼｯｸE" w:hAnsi="HGSｺﾞｼｯｸE" w:eastAsia="HGSｺﾞｼｯｸE"/>
          <w:sz w:val="24"/>
          <w:szCs w:val="24"/>
        </w:rPr>
      </w:pPr>
      <w:r>
        <w:rPr>
          <w:rFonts w:hint="eastAsia" w:ascii="HGSｺﾞｼｯｸE" w:hAnsi="HGSｺﾞｼｯｸE" w:eastAsia="HGSｺﾞｼｯｸE"/>
          <w:sz w:val="24"/>
          <w:szCs w:val="24"/>
        </w:rPr>
        <w:t>令和</w:t>
      </w:r>
      <w:r>
        <w:rPr>
          <w:rFonts w:hint="eastAsia" w:ascii="HGSｺﾞｼｯｸE" w:hAnsi="HGSｺﾞｼｯｸE" w:eastAsia="HGSｺﾞｼｯｸE"/>
          <w:sz w:val="24"/>
          <w:szCs w:val="24"/>
          <w:lang w:eastAsia="ja-JP"/>
        </w:rPr>
        <w:t>２</w:t>
      </w:r>
      <w:bookmarkStart w:id="0" w:name="_GoBack"/>
      <w:bookmarkEnd w:id="0"/>
      <w:r>
        <w:rPr>
          <w:rFonts w:hint="eastAsia" w:ascii="HGSｺﾞｼｯｸE" w:hAnsi="HGSｺﾞｼｯｸE" w:eastAsia="HGSｺﾞｼｯｸE"/>
          <w:sz w:val="24"/>
          <w:szCs w:val="24"/>
        </w:rPr>
        <w:t>年度　法制執務基礎研修事前課題　解答用紙</w:t>
      </w:r>
    </w:p>
    <w:p>
      <w:pPr>
        <w:jc w:val="center"/>
        <w:rPr>
          <w:rFonts w:ascii="HGSｺﾞｼｯｸE" w:hAnsi="HGSｺﾞｼｯｸE" w:eastAsia="HGSｺﾞｼｯｸE"/>
          <w:sz w:val="24"/>
          <w:szCs w:val="24"/>
        </w:rPr>
      </w:pPr>
    </w:p>
    <w:p>
      <w:pPr>
        <w:ind w:firstLine="6000" w:firstLineChars="2500"/>
        <w:jc w:val="left"/>
        <w:rPr>
          <w:rFonts w:asciiTheme="minorEastAsia" w:hAnsiTheme="minorEastAsia" w:eastAsiaTheme="minorEastAsia"/>
          <w:sz w:val="24"/>
          <w:szCs w:val="24"/>
          <w:u w:val="thick"/>
        </w:rPr>
      </w:pPr>
      <w:r>
        <w:rPr>
          <w:rFonts w:hint="eastAsia" w:asciiTheme="minorEastAsia" w:hAnsiTheme="minorEastAsia" w:eastAsiaTheme="minorEastAsia"/>
          <w:sz w:val="24"/>
          <w:szCs w:val="24"/>
          <w:u w:val="thick"/>
        </w:rPr>
        <w:t>団体名　　　　　　　　　　　　　</w:t>
      </w:r>
    </w:p>
    <w:p>
      <w:pPr>
        <w:ind w:firstLine="6000" w:firstLineChars="2500"/>
        <w:jc w:val="left"/>
        <w:rPr>
          <w:rFonts w:asciiTheme="minorEastAsia" w:hAnsiTheme="minorEastAsia" w:eastAsiaTheme="minorEastAsia"/>
          <w:sz w:val="24"/>
          <w:szCs w:val="24"/>
          <w:u w:val="thick"/>
        </w:rPr>
      </w:pPr>
      <w:r>
        <w:rPr>
          <w:rFonts w:asciiTheme="minorEastAsia" w:hAnsiTheme="minorEastAsia" w:eastAsiaTheme="minorEastAsia"/>
          <w:sz w:val="24"/>
          <w:szCs w:val="24"/>
          <w:u w:val="thick"/>
        </w:rPr>
        <w:t>氏　名　　　　　　　　　　　　　</w:t>
      </w:r>
    </w:p>
    <w:p>
      <w:pPr>
        <w:jc w:val="right"/>
        <w:rPr>
          <w:rFonts w:asciiTheme="minorEastAsia" w:hAnsiTheme="minorEastAsia" w:eastAsiaTheme="minorEastAsia"/>
          <w:sz w:val="24"/>
          <w:szCs w:val="24"/>
          <w:u w:val="thick"/>
        </w:rPr>
      </w:pP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tcPr>
          <w:p>
            <w:pPr>
              <w:rPr>
                <w:sz w:val="24"/>
                <w:szCs w:val="24"/>
              </w:rPr>
            </w:pPr>
            <w:r>
              <w:rPr>
                <w:rFonts w:hint="eastAsia"/>
                <w:sz w:val="24"/>
                <w:szCs w:val="24"/>
              </w:rPr>
              <w:t>　この解答用紙は、解答を記入した後、各自事前に</w:t>
            </w:r>
            <w:r>
              <w:rPr>
                <w:rFonts w:hint="eastAsia"/>
                <w:sz w:val="24"/>
                <w:szCs w:val="24"/>
                <w:u w:val="thick"/>
              </w:rPr>
              <w:t>両面コピー</w:t>
            </w:r>
            <w:r>
              <w:rPr>
                <w:rFonts w:hint="eastAsia"/>
                <w:sz w:val="24"/>
                <w:szCs w:val="24"/>
              </w:rPr>
              <w:t>の上、コピーを研修初日に受付に提出してください。</w:t>
            </w:r>
          </w:p>
        </w:tc>
      </w:tr>
    </w:tbl>
    <w:p>
      <w:pPr>
        <w:rPr>
          <w:sz w:val="24"/>
          <w:szCs w:val="24"/>
        </w:rPr>
      </w:pPr>
    </w:p>
    <w:p>
      <w:pPr>
        <w:rPr>
          <w:rFonts w:ascii="HGSｺﾞｼｯｸE" w:hAnsi="HGSｺﾞｼｯｸE" w:eastAsia="HGSｺﾞｼｯｸE"/>
          <w:sz w:val="24"/>
          <w:szCs w:val="24"/>
          <w:bdr w:val="single" w:color="auto" w:sz="4" w:space="0"/>
        </w:rPr>
      </w:pPr>
      <w:r>
        <w:rPr>
          <w:rFonts w:hint="eastAsia" w:ascii="HGSｺﾞｼｯｸE" w:hAnsi="HGSｺﾞｼｯｸE" w:eastAsia="HGSｺﾞｼｯｸE"/>
          <w:sz w:val="24"/>
          <w:szCs w:val="24"/>
        </w:rPr>
        <w:t>課題１</w:t>
      </w:r>
    </w:p>
    <w:tbl>
      <w:tblPr>
        <w:tblStyle w:val="6"/>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A</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B</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C</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D</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E</w:t>
            </w:r>
          </w:p>
        </w:tc>
        <w:tc>
          <w:tcPr>
            <w:tcW w:w="8505" w:type="dxa"/>
            <w:vAlign w:val="center"/>
          </w:tcPr>
          <w:p>
            <w:pPr>
              <w:rPr>
                <w:sz w:val="24"/>
                <w:szCs w:val="24"/>
              </w:rPr>
            </w:pPr>
            <w:r>
              <w:rPr>
                <w:sz w:val="24"/>
                <w:szCs w:val="24"/>
              </w:rPr>
              <w:t>第１章の章名　　</w:t>
            </w:r>
            <w:r>
              <w:rPr>
                <w:rFonts w:ascii="HGSｺﾞｼｯｸE" w:hAnsi="HGSｺﾞｼｯｸE" w:eastAsia="HGSｺﾞｼｯｸE"/>
                <w:sz w:val="24"/>
                <w:szCs w:val="24"/>
              </w:rPr>
              <w:t>※「章名」だけでは不正解（「第１章」が必要）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F</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G</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H</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I</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J</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K</w:t>
            </w:r>
          </w:p>
        </w:tc>
        <w:tc>
          <w:tcPr>
            <w:tcW w:w="8505" w:type="dxa"/>
            <w:vAlign w:val="center"/>
          </w:tcPr>
          <w:p>
            <w:pPr>
              <w:rPr>
                <w:sz w:val="24"/>
                <w:szCs w:val="24"/>
              </w:rPr>
            </w:pPr>
            <w:r>
              <w:rPr>
                <w:rFonts w:hint="eastAsia"/>
                <w:sz w:val="24"/>
                <w:szCs w:val="24"/>
              </w:rPr>
              <w:t>第３条第１項ただし書　</w:t>
            </w:r>
          </w:p>
          <w:p>
            <w:pPr>
              <w:rPr>
                <w:sz w:val="24"/>
                <w:szCs w:val="24"/>
              </w:rPr>
            </w:pPr>
            <w:r>
              <w:rPr>
                <w:rFonts w:ascii="HGSｺﾞｼｯｸE" w:hAnsi="HGSｺﾞｼｯｸE" w:eastAsia="HGSｺﾞｼｯｸE"/>
                <w:sz w:val="24"/>
                <w:szCs w:val="24"/>
              </w:rPr>
              <w:t>※「ただし書」だけでは不正解（「第３条第１項」が必要）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L</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M</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N</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O</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P</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Q</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R</w:t>
            </w:r>
          </w:p>
        </w:tc>
        <w:tc>
          <w:tcPr>
            <w:tcW w:w="850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4" w:type="dxa"/>
            <w:vAlign w:val="center"/>
          </w:tcPr>
          <w:p>
            <w:pPr>
              <w:jc w:val="center"/>
              <w:rPr>
                <w:rFonts w:eastAsiaTheme="minorEastAsia"/>
                <w:sz w:val="24"/>
                <w:szCs w:val="24"/>
              </w:rPr>
            </w:pPr>
            <w:r>
              <w:rPr>
                <w:rFonts w:eastAsiaTheme="minorEastAsia"/>
                <w:sz w:val="24"/>
                <w:szCs w:val="24"/>
              </w:rPr>
              <w:t>S</w:t>
            </w:r>
          </w:p>
        </w:tc>
        <w:tc>
          <w:tcPr>
            <w:tcW w:w="8505" w:type="dxa"/>
            <w:vAlign w:val="center"/>
          </w:tcPr>
          <w:p>
            <w:pPr>
              <w:rPr>
                <w:sz w:val="24"/>
                <w:szCs w:val="24"/>
              </w:rPr>
            </w:pPr>
          </w:p>
        </w:tc>
      </w:tr>
    </w:tbl>
    <w:p>
      <w:pPr>
        <w:ind w:left="240" w:hanging="240" w:hangingChars="100"/>
        <w:rPr>
          <w:rFonts w:ascii="HGSｺﾞｼｯｸE" w:hAnsi="HGSｺﾞｼｯｸE" w:eastAsia="HGSｺﾞｼｯｸE"/>
          <w:sz w:val="24"/>
          <w:szCs w:val="24"/>
        </w:rPr>
      </w:pPr>
      <w:r>
        <w:rPr>
          <w:rFonts w:hint="eastAsia" w:ascii="HGSｺﾞｼｯｸE" w:hAnsi="HGSｺﾞｼｯｸE" w:eastAsia="HGSｺﾞｼｯｸE" w:cs="ＭＳ 明朝"/>
          <w:sz w:val="24"/>
          <w:szCs w:val="24"/>
        </w:rPr>
        <w:t>※</w:t>
      </w:r>
      <w:r>
        <w:rPr>
          <w:rFonts w:ascii="HGSｺﾞｼｯｸE" w:hAnsi="HGSｺﾞｼｯｸE" w:eastAsia="HGSｺﾞｼｯｸE"/>
          <w:sz w:val="24"/>
          <w:szCs w:val="24"/>
        </w:rPr>
        <w:t>E</w:t>
      </w:r>
      <w:r>
        <w:rPr>
          <w:rFonts w:hint="eastAsia" w:ascii="HGSｺﾞｼｯｸE" w:hAnsi="HGSｺﾞｼｯｸE" w:eastAsia="HGSｺﾞｼｯｸE" w:cs="ＭＳ 明朝"/>
          <w:sz w:val="24"/>
          <w:szCs w:val="24"/>
        </w:rPr>
        <w:t>から</w:t>
      </w:r>
      <w:r>
        <w:rPr>
          <w:rFonts w:ascii="HGSｺﾞｼｯｸE" w:hAnsi="HGSｺﾞｼｯｸE" w:eastAsia="HGSｺﾞｼｯｸE"/>
          <w:sz w:val="24"/>
          <w:szCs w:val="24"/>
        </w:rPr>
        <w:t>Sまでは、個別の章、節、条、項等の名称で記載すること。</w:t>
      </w:r>
    </w:p>
    <w:p>
      <w:pPr>
        <w:widowControl/>
        <w:jc w:val="left"/>
        <w:rPr>
          <w:rFonts w:ascii="HGSｺﾞｼｯｸE" w:hAnsi="HGSｺﾞｼｯｸE" w:eastAsia="HGSｺﾞｼｯｸE"/>
          <w:sz w:val="24"/>
          <w:szCs w:val="24"/>
        </w:rPr>
      </w:pPr>
      <w:r>
        <w:rPr>
          <w:rFonts w:ascii="HGSｺﾞｼｯｸE" w:hAnsi="HGSｺﾞｼｯｸE" w:eastAsia="HGSｺﾞｼｯｸE"/>
          <w:sz w:val="24"/>
          <w:szCs w:val="24"/>
        </w:rPr>
        <w:br w:type="page"/>
      </w:r>
    </w:p>
    <w:p>
      <w:pPr>
        <w:widowControl/>
        <w:spacing w:line="360" w:lineRule="exact"/>
        <w:ind w:left="240" w:hanging="240" w:hangingChars="100"/>
        <w:jc w:val="left"/>
        <w:rPr>
          <w:sz w:val="24"/>
          <w:szCs w:val="24"/>
        </w:rPr>
      </w:pPr>
      <w:r>
        <w:rPr>
          <w:rFonts w:hint="eastAsia" w:ascii="HGSｺﾞｼｯｸE" w:hAnsi="HGSｺﾞｼｯｸE" w:eastAsia="HGSｺﾞｼｯｸE"/>
          <w:sz w:val="24"/>
          <w:szCs w:val="24"/>
        </w:rPr>
        <w:t>課題２</w:t>
      </w:r>
      <w:r>
        <w:rPr>
          <w:rFonts w:hint="eastAsia"/>
          <w:sz w:val="24"/>
          <w:szCs w:val="24"/>
        </w:rPr>
        <w:t>　</w:t>
      </w:r>
    </w:p>
    <w:p>
      <w:pPr>
        <w:spacing w:line="360" w:lineRule="exact"/>
        <w:rPr>
          <w:rFonts w:ascii="Century" w:hAnsi="Century"/>
          <w:color w:val="auto"/>
          <w:kern w:val="2"/>
          <w:sz w:val="24"/>
          <w:szCs w:val="24"/>
        </w:rPr>
      </w:pPr>
      <w:r>
        <w:rPr>
          <w:rFonts w:hint="eastAsia" w:ascii="Century" w:hAnsi="Century"/>
          <w:color w:val="auto"/>
          <w:kern w:val="2"/>
          <w:sz w:val="24"/>
          <w:szCs w:val="24"/>
        </w:rPr>
        <w:t>　①</w:t>
      </w:r>
    </w:p>
    <w:p>
      <w:pPr>
        <w:spacing w:line="360" w:lineRule="exact"/>
        <w:ind w:firstLine="240" w:firstLineChars="1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第４条　地方公共団体の休日は条例で定める。</w:t>
      </w:r>
    </w:p>
    <w:p>
      <w:pPr>
        <w:spacing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　②</w:t>
      </w:r>
    </w:p>
    <w:p>
      <w:pPr>
        <w:spacing w:line="360" w:lineRule="exact"/>
        <w:ind w:firstLine="240" w:firstLineChars="1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第149条　普通地方公共団体の長はおおむね次に掲げる事務を担任する。</w:t>
      </w:r>
    </w:p>
    <w:p>
      <w:pPr>
        <w:spacing w:line="360" w:lineRule="exact"/>
        <w:ind w:left="734" w:leftChars="215" w:hanging="283" w:hangingChars="118"/>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(1)　普通地方公共団体の議会の議決を経べき事件につきその議案を提出すること</w:t>
      </w:r>
    </w:p>
    <w:p>
      <w:pPr>
        <w:spacing w:line="360" w:lineRule="exact"/>
        <w:ind w:firstLine="480" w:firstLineChars="2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(2)　予算を調製し及びこれを執行すること</w:t>
      </w:r>
    </w:p>
    <w:p>
      <w:pPr>
        <w:spacing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　③</w:t>
      </w:r>
    </w:p>
    <w:p>
      <w:pPr>
        <w:spacing w:line="360" w:lineRule="exact"/>
        <w:ind w:left="450" w:leftChars="100" w:hanging="240" w:hangingChars="1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第８条　会議は委員定数の半数以上の委員が出席しかつ条例第２条各号に定める委員のうちから各１人以上が出席しなければ開くことができない。</w:t>
      </w:r>
    </w:p>
    <w:p>
      <w:pPr>
        <w:spacing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　④</w:t>
      </w:r>
    </w:p>
    <w:p>
      <w:pPr>
        <w:spacing w:line="360" w:lineRule="exact"/>
        <w:ind w:left="450" w:leftChars="100" w:hanging="240" w:hangingChars="1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第１条　この規則は、地方教育行政の組織及び運営に関する法律（昭和31年法律第162号以下「法」という）第18条の規定に基づき、○○市教育委員会（以下「教育委員会」という）の事務局及び教育機関（学校を除く以下同じ）の組織、職の設置に関し必要な事項を定めるものとする。</w:t>
      </w:r>
    </w:p>
    <w:p>
      <w:pPr>
        <w:spacing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　⑤</w:t>
      </w:r>
    </w:p>
    <w:p>
      <w:pPr>
        <w:spacing w:line="360" w:lineRule="exact"/>
        <w:ind w:left="450" w:leftChars="100" w:hanging="240" w:hangingChars="100"/>
        <w:rPr>
          <w:rFonts w:ascii="Century" w:hAnsi="Century"/>
          <w:color w:val="auto"/>
          <w:kern w:val="2"/>
          <w:sz w:val="24"/>
          <w:szCs w:val="24"/>
        </w:rPr>
      </w:pPr>
      <w:r>
        <w:rPr>
          <w:rFonts w:hint="eastAsia" w:asciiTheme="minorEastAsia" w:hAnsiTheme="minorEastAsia" w:eastAsiaTheme="minorEastAsia"/>
          <w:color w:val="auto"/>
          <w:kern w:val="2"/>
          <w:sz w:val="24"/>
          <w:szCs w:val="24"/>
        </w:rPr>
        <w:t>第197条　監査委員の任期は、識見を有する者のうちから選任される者にあっては４年とし、議員のうちから選任される者にあっては議員の任期による。ただし後任者が選任</w:t>
      </w:r>
      <w:r>
        <w:rPr>
          <w:rFonts w:hint="eastAsia" w:ascii="Century" w:hAnsi="Century"/>
          <w:color w:val="auto"/>
          <w:kern w:val="2"/>
          <w:sz w:val="24"/>
          <w:szCs w:val="24"/>
        </w:rPr>
        <w:t>されるまでの間は、その職務を行うことを妨げない。</w:t>
      </w:r>
    </w:p>
    <w:p>
      <w:pPr>
        <w:widowControl/>
        <w:spacing w:line="360" w:lineRule="exact"/>
        <w:rPr>
          <w:sz w:val="24"/>
          <w:szCs w:val="24"/>
        </w:rPr>
      </w:pPr>
    </w:p>
    <w:p>
      <w:pPr>
        <w:widowControl/>
        <w:spacing w:line="360" w:lineRule="exact"/>
        <w:ind w:left="240" w:hanging="240" w:hangingChars="100"/>
        <w:jc w:val="left"/>
        <w:rPr>
          <w:sz w:val="24"/>
          <w:szCs w:val="24"/>
        </w:rPr>
      </w:pPr>
      <w:r>
        <w:rPr>
          <w:rFonts w:hint="eastAsia" w:ascii="HGSｺﾞｼｯｸE" w:hAnsi="HGSｺﾞｼｯｸE" w:eastAsia="HGSｺﾞｼｯｸE"/>
          <w:sz w:val="24"/>
          <w:szCs w:val="24"/>
        </w:rPr>
        <w:t>課題３</w:t>
      </w:r>
      <w:r>
        <w:rPr>
          <w:rFonts w:hint="eastAsia"/>
          <w:sz w:val="24"/>
          <w:szCs w:val="24"/>
        </w:rPr>
        <w:t>　</w:t>
      </w:r>
    </w:p>
    <w:p>
      <w:pPr>
        <w:spacing w:line="360" w:lineRule="exact"/>
        <w:ind w:left="525" w:hanging="525"/>
        <w:rPr>
          <w:rFonts w:ascii="Century" w:hAnsi="Century"/>
          <w:color w:val="auto"/>
          <w:kern w:val="2"/>
          <w:sz w:val="24"/>
          <w:szCs w:val="24"/>
        </w:rPr>
      </w:pPr>
      <w:r>
        <w:rPr>
          <w:rFonts w:hint="eastAsia" w:ascii="Century" w:hAnsi="Century" w:eastAsia="HGPｺﾞｼｯｸE"/>
          <w:color w:val="auto"/>
          <w:kern w:val="2"/>
          <w:sz w:val="24"/>
          <w:szCs w:val="24"/>
        </w:rPr>
        <w:t>問１</w:t>
      </w:r>
      <w:r>
        <w:rPr>
          <w:rFonts w:hint="eastAsia" w:ascii="Century" w:hAnsi="Century"/>
          <w:color w:val="auto"/>
          <w:kern w:val="2"/>
          <w:sz w:val="24"/>
          <w:szCs w:val="24"/>
        </w:rPr>
        <w:t>　</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問題ないもの・・・</w:t>
      </w:r>
      <w:r>
        <w:rPr>
          <w:rFonts w:hint="eastAsia" w:ascii="Century" w:hAnsi="Century"/>
          <w:color w:val="auto"/>
          <w:kern w:val="2"/>
          <w:sz w:val="24"/>
          <w:szCs w:val="24"/>
          <w:u w:val="single"/>
        </w:rPr>
        <w:t>　　　</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①　同一の者を、臨時職員として再び雇用した場合は、直ちに人事課長に報告しなければならない。</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②　許可の基準は、次の通りとする。但し、特別の理由がある場合は、市長は、別に基準を定めることができる。</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③　規則第５条の規定による車輛保管責任者は、別表第１に特別の定めがあるものを除く外、庶務課長および業務課長とする。</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④　この条例において「青少年」と</w:t>
      </w:r>
      <w:r>
        <w:rPr>
          <w:rFonts w:hint="eastAsia" w:asciiTheme="minorEastAsia" w:hAnsiTheme="minorEastAsia" w:eastAsiaTheme="minorEastAsia"/>
          <w:color w:val="auto"/>
          <w:kern w:val="2"/>
          <w:sz w:val="24"/>
          <w:szCs w:val="24"/>
        </w:rPr>
        <w:t>は、年令18才未</w:t>
      </w:r>
      <w:r>
        <w:rPr>
          <w:rFonts w:hint="eastAsia" w:ascii="Century" w:hAnsi="Century"/>
          <w:color w:val="auto"/>
          <w:kern w:val="2"/>
          <w:sz w:val="24"/>
          <w:szCs w:val="24"/>
        </w:rPr>
        <w:t>満の者をいう。</w:t>
      </w:r>
    </w:p>
    <w:p>
      <w:pPr>
        <w:spacing w:line="360" w:lineRule="exact"/>
        <w:ind w:left="525" w:hanging="525"/>
        <w:rPr>
          <w:rFonts w:ascii="Century" w:hAnsi="Century"/>
          <w:color w:val="auto"/>
          <w:kern w:val="2"/>
          <w:sz w:val="24"/>
          <w:szCs w:val="24"/>
        </w:rPr>
      </w:pPr>
      <w:r>
        <w:rPr>
          <w:rFonts w:hint="eastAsia" w:ascii="Century" w:hAnsi="Century" w:eastAsia="HGPｺﾞｼｯｸE"/>
          <w:color w:val="auto"/>
          <w:kern w:val="2"/>
          <w:sz w:val="24"/>
          <w:szCs w:val="24"/>
        </w:rPr>
        <w:t>問２</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問題ないもの・・・</w:t>
      </w:r>
      <w:r>
        <w:rPr>
          <w:rFonts w:hint="eastAsia" w:ascii="Century" w:hAnsi="Century"/>
          <w:color w:val="auto"/>
          <w:kern w:val="2"/>
          <w:sz w:val="24"/>
          <w:szCs w:val="24"/>
          <w:u w:val="single"/>
        </w:rPr>
        <w:t>　　　</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①　受験の申込みは、必ず、本人持参又は郵便の方法により行うこと。</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②　公聴会の開催に当たっては、広く住民からの異る意見が集るように配慮するものとする。</w:t>
      </w:r>
    </w:p>
    <w:p>
      <w:pPr>
        <w:spacing w:line="360" w:lineRule="exact"/>
        <w:ind w:left="525" w:hanging="525"/>
        <w:rPr>
          <w:rFonts w:ascii="Century" w:hAnsi="Century"/>
          <w:color w:val="auto"/>
          <w:kern w:val="2"/>
          <w:sz w:val="24"/>
          <w:szCs w:val="24"/>
        </w:rPr>
      </w:pPr>
      <w:r>
        <w:rPr>
          <w:rFonts w:hint="eastAsia" w:ascii="Century" w:hAnsi="Century"/>
          <w:color w:val="auto"/>
          <w:kern w:val="2"/>
          <w:sz w:val="24"/>
          <w:szCs w:val="24"/>
        </w:rPr>
        <w:t>　③　納入金を小切手により払込む場合は、午後３時までに所定の手続きを終るようにしなければならない。</w:t>
      </w:r>
    </w:p>
    <w:p>
      <w:pPr>
        <w:spacing w:line="360" w:lineRule="exact"/>
        <w:ind w:left="525" w:hanging="525"/>
        <w:rPr>
          <w:sz w:val="24"/>
          <w:szCs w:val="24"/>
        </w:rPr>
      </w:pPr>
      <w:r>
        <w:rPr>
          <w:rFonts w:hint="eastAsia" w:ascii="Century" w:hAnsi="Century"/>
          <w:color w:val="auto"/>
          <w:kern w:val="2"/>
          <w:sz w:val="24"/>
          <w:szCs w:val="24"/>
        </w:rPr>
        <w:t>　④　ガスライター又はマッチでタバコに火を付けるときは、危険度の少い場所で行なうこと。</w:t>
      </w:r>
    </w:p>
    <w:sectPr>
      <w:footerReference r:id="rId3" w:type="default"/>
      <w:pgSz w:w="11906" w:h="16838"/>
      <w:pgMar w:top="851" w:right="1077" w:bottom="851" w:left="107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SｺﾞｼｯｸE">
    <w:panose1 w:val="020B0900000000000000"/>
    <w:charset w:val="80"/>
    <w:family w:val="modern"/>
    <w:pitch w:val="default"/>
    <w:sig w:usb0="E00002FF" w:usb1="6AC7FDFB" w:usb2="00000012" w:usb3="00000000" w:csb0="4002009F" w:csb1="DFD70000"/>
  </w:font>
  <w:font w:name="HGPｺﾞｼｯｸE">
    <w:panose1 w:val="020B0900000000000000"/>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004393"/>
    </w:sdtPr>
    <w:sdtContent>
      <w:p>
        <w:pPr>
          <w:pStyle w:val="2"/>
          <w:jc w:val="center"/>
        </w:pPr>
        <w:r>
          <w:fldChar w:fldCharType="begin"/>
        </w:r>
        <w:r>
          <w:instrText xml:space="preserve">PAGE   \* MERGEFORMAT</w:instrText>
        </w:r>
        <w:r>
          <w:fldChar w:fldCharType="separate"/>
        </w:r>
        <w:r>
          <w:rPr>
            <w:lang w:val="ja-JP"/>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5"/>
    <w:rsid w:val="000B4C59"/>
    <w:rsid w:val="0010611B"/>
    <w:rsid w:val="00167FBE"/>
    <w:rsid w:val="001704D9"/>
    <w:rsid w:val="00196DD6"/>
    <w:rsid w:val="001A450E"/>
    <w:rsid w:val="002B126B"/>
    <w:rsid w:val="00324D92"/>
    <w:rsid w:val="00357D60"/>
    <w:rsid w:val="003C13D9"/>
    <w:rsid w:val="004342B4"/>
    <w:rsid w:val="00470A89"/>
    <w:rsid w:val="005562DD"/>
    <w:rsid w:val="00571C23"/>
    <w:rsid w:val="005B0C8D"/>
    <w:rsid w:val="005F1887"/>
    <w:rsid w:val="00625757"/>
    <w:rsid w:val="00742E55"/>
    <w:rsid w:val="0076682B"/>
    <w:rsid w:val="007E5B53"/>
    <w:rsid w:val="00801F15"/>
    <w:rsid w:val="008345B8"/>
    <w:rsid w:val="00837697"/>
    <w:rsid w:val="008E4A31"/>
    <w:rsid w:val="009B6425"/>
    <w:rsid w:val="00AB71F9"/>
    <w:rsid w:val="00C04F93"/>
    <w:rsid w:val="00CB7F72"/>
    <w:rsid w:val="00D86454"/>
    <w:rsid w:val="00E95001"/>
    <w:rsid w:val="00F07E63"/>
    <w:rsid w:val="00F72FC3"/>
    <w:rsid w:val="00F92E56"/>
    <w:rsid w:val="00FA062F"/>
    <w:rsid w:val="00FE62CC"/>
    <w:rsid w:val="5B870412"/>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ＭＳ 明朝" w:cs="Times New Roman" w:asciiTheme="minorHAnsi" w:hAnsiTheme="minorHAnsi"/>
      <w:color w:val="000000"/>
      <w:sz w:val="21"/>
      <w:szCs w:val="21"/>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ヘッダー (文字)"/>
    <w:basedOn w:val="4"/>
    <w:link w:val="3"/>
    <w:uiPriority w:val="99"/>
  </w:style>
  <w:style w:type="character" w:customStyle="1" w:styleId="8">
    <w:name w:val="フッター (文字)"/>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975</Characters>
  <Lines>8</Lines>
  <Paragraphs>2</Paragraphs>
  <TotalTime>0</TotalTime>
  <ScaleCrop>false</ScaleCrop>
  <LinksUpToDate>false</LinksUpToDate>
  <CharactersWithSpaces>1143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2016-06-09T04:19:00Z</dcterms:created>
  <dc:creator>上原等</dc:creator>
  <cp:lastModifiedBy>user</cp:lastModifiedBy>
  <dcterms:modified xsi:type="dcterms:W3CDTF">2020-07-10T02:04:47Z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